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E2E5F" w14:textId="1D82F370" w:rsidR="009027BB" w:rsidRPr="00C15200" w:rsidRDefault="00C15200" w:rsidP="00C15200">
      <w:pPr>
        <w:jc w:val="center"/>
        <w:rPr>
          <w:rFonts w:ascii="Arial" w:hAnsi="Arial" w:cs="Arial"/>
          <w:b/>
          <w:bCs/>
          <w:sz w:val="28"/>
          <w:szCs w:val="28"/>
        </w:rPr>
      </w:pPr>
      <w:r w:rsidRPr="00C15200">
        <w:rPr>
          <w:rFonts w:ascii="Arial" w:hAnsi="Arial" w:cs="Arial"/>
          <w:b/>
          <w:bCs/>
          <w:sz w:val="28"/>
          <w:szCs w:val="28"/>
        </w:rPr>
        <w:t xml:space="preserve">Public Sector Internal Audit Standards </w:t>
      </w:r>
      <w:r w:rsidR="000F4BBB" w:rsidRPr="00C15200">
        <w:rPr>
          <w:rFonts w:ascii="Arial" w:hAnsi="Arial" w:cs="Arial"/>
          <w:b/>
          <w:bCs/>
          <w:sz w:val="28"/>
          <w:szCs w:val="28"/>
        </w:rPr>
        <w:t>Self-Assessment</w:t>
      </w:r>
      <w:r w:rsidRPr="00C15200">
        <w:rPr>
          <w:rFonts w:ascii="Arial" w:hAnsi="Arial" w:cs="Arial"/>
          <w:b/>
          <w:bCs/>
          <w:sz w:val="28"/>
          <w:szCs w:val="28"/>
        </w:rPr>
        <w:t xml:space="preserve"> Action Plan </w:t>
      </w:r>
    </w:p>
    <w:p w14:paraId="6C81090D" w14:textId="3EF451E1" w:rsidR="00C15200" w:rsidRDefault="00C15200" w:rsidP="00C15200">
      <w:pPr>
        <w:jc w:val="center"/>
        <w:rPr>
          <w:rFonts w:ascii="Arial" w:hAnsi="Arial" w:cs="Arial"/>
          <w:b/>
          <w:bCs/>
          <w:sz w:val="28"/>
          <w:szCs w:val="28"/>
        </w:rPr>
      </w:pPr>
      <w:r w:rsidRPr="00C15200">
        <w:rPr>
          <w:rFonts w:ascii="Arial" w:hAnsi="Arial" w:cs="Arial"/>
          <w:b/>
          <w:bCs/>
          <w:sz w:val="28"/>
          <w:szCs w:val="28"/>
        </w:rPr>
        <w:t>May 2021</w:t>
      </w:r>
      <w:r w:rsidR="002C583B">
        <w:rPr>
          <w:rFonts w:ascii="Arial" w:hAnsi="Arial" w:cs="Arial"/>
          <w:b/>
          <w:bCs/>
          <w:sz w:val="28"/>
          <w:szCs w:val="28"/>
        </w:rPr>
        <w:t xml:space="preserve"> / May 2022</w:t>
      </w:r>
    </w:p>
    <w:p w14:paraId="31968ED7" w14:textId="77F28A6B" w:rsidR="00C15200" w:rsidRDefault="00C15200" w:rsidP="00C15200">
      <w:pPr>
        <w:jc w:val="center"/>
        <w:rPr>
          <w:rFonts w:ascii="Arial" w:hAnsi="Arial" w:cs="Arial"/>
          <w:b/>
          <w:bCs/>
          <w:sz w:val="28"/>
          <w:szCs w:val="28"/>
        </w:rPr>
      </w:pPr>
    </w:p>
    <w:tbl>
      <w:tblPr>
        <w:tblStyle w:val="TableGrid"/>
        <w:tblW w:w="0" w:type="auto"/>
        <w:tblLook w:val="04A0" w:firstRow="1" w:lastRow="0" w:firstColumn="1" w:lastColumn="0" w:noHBand="0" w:noVBand="1"/>
      </w:tblPr>
      <w:tblGrid>
        <w:gridCol w:w="704"/>
        <w:gridCol w:w="4678"/>
        <w:gridCol w:w="1881"/>
        <w:gridCol w:w="1293"/>
        <w:gridCol w:w="5359"/>
      </w:tblGrid>
      <w:tr w:rsidR="002C583B" w14:paraId="24C9AE14" w14:textId="036E1FC6" w:rsidTr="002C583B">
        <w:tc>
          <w:tcPr>
            <w:tcW w:w="704" w:type="dxa"/>
            <w:shd w:val="clear" w:color="auto" w:fill="D9E2F3" w:themeFill="accent1" w:themeFillTint="33"/>
          </w:tcPr>
          <w:p w14:paraId="05969EF7" w14:textId="22E641BE" w:rsidR="002C583B" w:rsidRDefault="002C583B" w:rsidP="00C15200">
            <w:pPr>
              <w:jc w:val="center"/>
              <w:rPr>
                <w:rFonts w:ascii="Arial" w:hAnsi="Arial" w:cs="Arial"/>
                <w:b/>
                <w:bCs/>
                <w:sz w:val="28"/>
                <w:szCs w:val="28"/>
              </w:rPr>
            </w:pPr>
            <w:r>
              <w:rPr>
                <w:rFonts w:ascii="Arial" w:hAnsi="Arial" w:cs="Arial"/>
                <w:b/>
                <w:bCs/>
                <w:sz w:val="28"/>
                <w:szCs w:val="28"/>
              </w:rPr>
              <w:t>Ref</w:t>
            </w:r>
          </w:p>
        </w:tc>
        <w:tc>
          <w:tcPr>
            <w:tcW w:w="4678" w:type="dxa"/>
            <w:shd w:val="clear" w:color="auto" w:fill="D9E2F3" w:themeFill="accent1" w:themeFillTint="33"/>
          </w:tcPr>
          <w:p w14:paraId="7E5D1A81" w14:textId="7E7C6A51" w:rsidR="002C583B" w:rsidRDefault="002C583B" w:rsidP="00C15200">
            <w:pPr>
              <w:jc w:val="center"/>
              <w:rPr>
                <w:rFonts w:ascii="Arial" w:hAnsi="Arial" w:cs="Arial"/>
                <w:b/>
                <w:bCs/>
                <w:sz w:val="28"/>
                <w:szCs w:val="28"/>
              </w:rPr>
            </w:pPr>
            <w:r>
              <w:rPr>
                <w:rFonts w:ascii="Arial" w:hAnsi="Arial" w:cs="Arial"/>
                <w:b/>
                <w:bCs/>
                <w:sz w:val="28"/>
                <w:szCs w:val="28"/>
              </w:rPr>
              <w:t>Action</w:t>
            </w:r>
          </w:p>
        </w:tc>
        <w:tc>
          <w:tcPr>
            <w:tcW w:w="1881" w:type="dxa"/>
            <w:shd w:val="clear" w:color="auto" w:fill="D9E2F3" w:themeFill="accent1" w:themeFillTint="33"/>
          </w:tcPr>
          <w:p w14:paraId="54CED095" w14:textId="25CD12D3" w:rsidR="002C583B" w:rsidRDefault="002C583B" w:rsidP="00C15200">
            <w:pPr>
              <w:jc w:val="center"/>
              <w:rPr>
                <w:rFonts w:ascii="Arial" w:hAnsi="Arial" w:cs="Arial"/>
                <w:b/>
                <w:bCs/>
                <w:sz w:val="28"/>
                <w:szCs w:val="28"/>
              </w:rPr>
            </w:pPr>
            <w:r>
              <w:rPr>
                <w:rFonts w:ascii="Arial" w:hAnsi="Arial" w:cs="Arial"/>
                <w:b/>
                <w:bCs/>
                <w:sz w:val="28"/>
                <w:szCs w:val="28"/>
              </w:rPr>
              <w:t>Responsible Officer</w:t>
            </w:r>
          </w:p>
        </w:tc>
        <w:tc>
          <w:tcPr>
            <w:tcW w:w="1292" w:type="dxa"/>
            <w:shd w:val="clear" w:color="auto" w:fill="D9E2F3" w:themeFill="accent1" w:themeFillTint="33"/>
          </w:tcPr>
          <w:p w14:paraId="1D24B893" w14:textId="15A702D9" w:rsidR="002C583B" w:rsidRDefault="002C583B" w:rsidP="00C15200">
            <w:pPr>
              <w:jc w:val="center"/>
              <w:rPr>
                <w:rFonts w:ascii="Arial" w:hAnsi="Arial" w:cs="Arial"/>
                <w:b/>
                <w:bCs/>
                <w:sz w:val="28"/>
                <w:szCs w:val="28"/>
              </w:rPr>
            </w:pPr>
            <w:r>
              <w:rPr>
                <w:rFonts w:ascii="Arial" w:hAnsi="Arial" w:cs="Arial"/>
                <w:b/>
                <w:bCs/>
                <w:sz w:val="28"/>
                <w:szCs w:val="28"/>
              </w:rPr>
              <w:t>Date</w:t>
            </w:r>
          </w:p>
        </w:tc>
        <w:tc>
          <w:tcPr>
            <w:tcW w:w="5359" w:type="dxa"/>
            <w:shd w:val="clear" w:color="auto" w:fill="D9E2F3" w:themeFill="accent1" w:themeFillTint="33"/>
          </w:tcPr>
          <w:p w14:paraId="32C5A6AD" w14:textId="45DECC22" w:rsidR="002C583B" w:rsidRDefault="002C583B" w:rsidP="00C15200">
            <w:pPr>
              <w:jc w:val="center"/>
              <w:rPr>
                <w:rFonts w:ascii="Arial" w:hAnsi="Arial" w:cs="Arial"/>
                <w:b/>
                <w:bCs/>
                <w:sz w:val="28"/>
                <w:szCs w:val="28"/>
              </w:rPr>
            </w:pPr>
            <w:r>
              <w:rPr>
                <w:rFonts w:ascii="Arial" w:hAnsi="Arial" w:cs="Arial"/>
                <w:b/>
                <w:bCs/>
                <w:sz w:val="28"/>
                <w:szCs w:val="28"/>
              </w:rPr>
              <w:t>Status</w:t>
            </w:r>
          </w:p>
        </w:tc>
      </w:tr>
      <w:tr w:rsidR="002C583B" w14:paraId="12C50A59" w14:textId="63981A14" w:rsidTr="002C583B">
        <w:tc>
          <w:tcPr>
            <w:tcW w:w="704" w:type="dxa"/>
          </w:tcPr>
          <w:p w14:paraId="68280476" w14:textId="7674E645" w:rsidR="002C583B" w:rsidRPr="000F4BBB" w:rsidRDefault="002C583B" w:rsidP="000F4BBB">
            <w:pPr>
              <w:rPr>
                <w:rFonts w:ascii="Arial" w:hAnsi="Arial" w:cs="Arial"/>
              </w:rPr>
            </w:pPr>
            <w:r w:rsidRPr="000F4BBB">
              <w:rPr>
                <w:rFonts w:ascii="Arial" w:hAnsi="Arial" w:cs="Arial"/>
              </w:rPr>
              <w:t>1</w:t>
            </w:r>
          </w:p>
        </w:tc>
        <w:tc>
          <w:tcPr>
            <w:tcW w:w="4678" w:type="dxa"/>
          </w:tcPr>
          <w:p w14:paraId="374B64DA" w14:textId="77777777" w:rsidR="002C583B" w:rsidRPr="000F4BBB" w:rsidRDefault="002C583B" w:rsidP="000F4BBB">
            <w:pPr>
              <w:rPr>
                <w:rFonts w:ascii="Arial" w:hAnsi="Arial" w:cs="Arial"/>
              </w:rPr>
            </w:pPr>
            <w:r w:rsidRPr="000F4BBB">
              <w:rPr>
                <w:rFonts w:ascii="Arial" w:hAnsi="Arial" w:cs="Arial"/>
              </w:rPr>
              <w:t>Update of Internal Audit Manual and associated procedures to ensure they meet the current operational requirements.</w:t>
            </w:r>
          </w:p>
          <w:p w14:paraId="624022D8" w14:textId="1E4E276E" w:rsidR="002C583B" w:rsidRPr="000F4BBB" w:rsidRDefault="002C583B" w:rsidP="000F4BBB">
            <w:pPr>
              <w:rPr>
                <w:rFonts w:ascii="Arial" w:hAnsi="Arial" w:cs="Arial"/>
              </w:rPr>
            </w:pPr>
          </w:p>
        </w:tc>
        <w:tc>
          <w:tcPr>
            <w:tcW w:w="1881" w:type="dxa"/>
          </w:tcPr>
          <w:p w14:paraId="51859B99" w14:textId="74BE7CEF" w:rsidR="002C583B" w:rsidRPr="000F4BBB" w:rsidRDefault="002C583B" w:rsidP="000F4BBB">
            <w:pPr>
              <w:rPr>
                <w:rFonts w:ascii="Arial" w:hAnsi="Arial" w:cs="Arial"/>
              </w:rPr>
            </w:pPr>
            <w:r>
              <w:rPr>
                <w:rFonts w:ascii="Arial" w:hAnsi="Arial" w:cs="Arial"/>
              </w:rPr>
              <w:t xml:space="preserve">Service Lead Audit and Risk / Senior Auditor </w:t>
            </w:r>
          </w:p>
        </w:tc>
        <w:tc>
          <w:tcPr>
            <w:tcW w:w="1292" w:type="dxa"/>
          </w:tcPr>
          <w:p w14:paraId="0DAF2257" w14:textId="60F12610" w:rsidR="002C583B" w:rsidRPr="000F4BBB" w:rsidRDefault="002C583B" w:rsidP="000F4BBB">
            <w:pPr>
              <w:rPr>
                <w:rFonts w:ascii="Arial" w:hAnsi="Arial" w:cs="Arial"/>
              </w:rPr>
            </w:pPr>
            <w:r w:rsidRPr="000F4BBB">
              <w:rPr>
                <w:rFonts w:ascii="Arial" w:hAnsi="Arial" w:cs="Arial"/>
              </w:rPr>
              <w:t>September 2021</w:t>
            </w:r>
          </w:p>
        </w:tc>
        <w:tc>
          <w:tcPr>
            <w:tcW w:w="5359" w:type="dxa"/>
          </w:tcPr>
          <w:p w14:paraId="5F47BA88" w14:textId="77777777" w:rsidR="002C583B" w:rsidRDefault="002C583B" w:rsidP="000F4BBB">
            <w:pPr>
              <w:rPr>
                <w:rFonts w:ascii="Arial" w:hAnsi="Arial" w:cs="Arial"/>
              </w:rPr>
            </w:pPr>
            <w:r w:rsidRPr="002C583B">
              <w:rPr>
                <w:rFonts w:ascii="Arial" w:hAnsi="Arial" w:cs="Arial"/>
              </w:rPr>
              <w:t>Complete.   Internal Audit Manual and associated procedures updated as part of the ISO 9001 certification for its Quality Assurance System re-accreditation.</w:t>
            </w:r>
          </w:p>
          <w:p w14:paraId="5D2D6C4C" w14:textId="3AFEE298" w:rsidR="002C583B" w:rsidRPr="002C583B" w:rsidRDefault="002C583B" w:rsidP="000F4BBB">
            <w:pPr>
              <w:rPr>
                <w:rFonts w:ascii="Arial" w:hAnsi="Arial" w:cs="Arial"/>
              </w:rPr>
            </w:pPr>
          </w:p>
        </w:tc>
      </w:tr>
      <w:tr w:rsidR="002C583B" w14:paraId="1588A5B1" w14:textId="32A08331" w:rsidTr="002C583B">
        <w:tc>
          <w:tcPr>
            <w:tcW w:w="704" w:type="dxa"/>
          </w:tcPr>
          <w:p w14:paraId="337659BC" w14:textId="77777777" w:rsidR="002C583B" w:rsidRPr="000F4BBB" w:rsidRDefault="002C583B" w:rsidP="000F4BBB">
            <w:pPr>
              <w:rPr>
                <w:rFonts w:ascii="Arial" w:hAnsi="Arial" w:cs="Arial"/>
              </w:rPr>
            </w:pPr>
            <w:r w:rsidRPr="000F4BBB">
              <w:rPr>
                <w:rFonts w:ascii="Arial" w:hAnsi="Arial" w:cs="Arial"/>
              </w:rPr>
              <w:t>2</w:t>
            </w:r>
          </w:p>
          <w:p w14:paraId="2D0F83D4" w14:textId="310BF9AE" w:rsidR="002C583B" w:rsidRPr="000F4BBB" w:rsidRDefault="002C583B" w:rsidP="000F4BBB">
            <w:pPr>
              <w:rPr>
                <w:rFonts w:ascii="Arial" w:hAnsi="Arial" w:cs="Arial"/>
              </w:rPr>
            </w:pPr>
          </w:p>
        </w:tc>
        <w:tc>
          <w:tcPr>
            <w:tcW w:w="4678" w:type="dxa"/>
          </w:tcPr>
          <w:p w14:paraId="107A2836" w14:textId="77777777" w:rsidR="002C583B" w:rsidRPr="000F4BBB" w:rsidRDefault="002C583B" w:rsidP="000F4BBB">
            <w:pPr>
              <w:rPr>
                <w:rFonts w:ascii="Arial" w:hAnsi="Arial" w:cs="Arial"/>
              </w:rPr>
            </w:pPr>
            <w:r w:rsidRPr="000F4BBB">
              <w:rPr>
                <w:rFonts w:ascii="Arial" w:hAnsi="Arial" w:cs="Arial"/>
              </w:rPr>
              <w:t xml:space="preserve">Ensure that the PSIAS / LGAN </w:t>
            </w:r>
            <w:proofErr w:type="spellStart"/>
            <w:r w:rsidRPr="000F4BBB">
              <w:rPr>
                <w:rFonts w:ascii="Arial" w:hAnsi="Arial" w:cs="Arial"/>
              </w:rPr>
              <w:t>self assessment</w:t>
            </w:r>
            <w:proofErr w:type="spellEnd"/>
            <w:r w:rsidRPr="000F4BBB">
              <w:rPr>
                <w:rFonts w:ascii="Arial" w:hAnsi="Arial" w:cs="Arial"/>
              </w:rPr>
              <w:t xml:space="preserve"> is undertaken annually and reported to senior management and the Governance Committee.</w:t>
            </w:r>
          </w:p>
          <w:p w14:paraId="474125E5" w14:textId="04CEE6D5" w:rsidR="002C583B" w:rsidRPr="000F4BBB" w:rsidRDefault="002C583B" w:rsidP="000F4BBB">
            <w:pPr>
              <w:rPr>
                <w:rFonts w:ascii="Arial" w:hAnsi="Arial" w:cs="Arial"/>
              </w:rPr>
            </w:pPr>
          </w:p>
        </w:tc>
        <w:tc>
          <w:tcPr>
            <w:tcW w:w="1881" w:type="dxa"/>
          </w:tcPr>
          <w:p w14:paraId="29579FC7" w14:textId="01F98B50" w:rsidR="002C583B" w:rsidRPr="000F4BBB" w:rsidRDefault="002C583B" w:rsidP="000F4BBB">
            <w:pPr>
              <w:rPr>
                <w:rFonts w:ascii="Arial" w:hAnsi="Arial" w:cs="Arial"/>
              </w:rPr>
            </w:pPr>
            <w:r>
              <w:rPr>
                <w:rFonts w:ascii="Arial" w:hAnsi="Arial" w:cs="Arial"/>
              </w:rPr>
              <w:t>Service Lead Audit and Risk</w:t>
            </w:r>
          </w:p>
        </w:tc>
        <w:tc>
          <w:tcPr>
            <w:tcW w:w="1292" w:type="dxa"/>
          </w:tcPr>
          <w:p w14:paraId="21996A1D" w14:textId="60446F6D" w:rsidR="002C583B" w:rsidRPr="000F4BBB" w:rsidRDefault="002C583B" w:rsidP="000F4BBB">
            <w:pPr>
              <w:rPr>
                <w:rFonts w:ascii="Arial" w:hAnsi="Arial" w:cs="Arial"/>
              </w:rPr>
            </w:pPr>
            <w:r>
              <w:rPr>
                <w:rFonts w:ascii="Arial" w:hAnsi="Arial" w:cs="Arial"/>
              </w:rPr>
              <w:t>May 2022</w:t>
            </w:r>
          </w:p>
        </w:tc>
        <w:tc>
          <w:tcPr>
            <w:tcW w:w="5359" w:type="dxa"/>
          </w:tcPr>
          <w:p w14:paraId="7F26ACB2" w14:textId="77777777" w:rsidR="002C583B" w:rsidRDefault="002C583B" w:rsidP="000F4BBB">
            <w:pPr>
              <w:rPr>
                <w:rFonts w:ascii="Arial" w:hAnsi="Arial" w:cs="Arial"/>
              </w:rPr>
            </w:pPr>
            <w:r>
              <w:rPr>
                <w:rFonts w:ascii="Arial" w:hAnsi="Arial" w:cs="Arial"/>
              </w:rPr>
              <w:t xml:space="preserve">Complete.   </w:t>
            </w:r>
            <w:proofErr w:type="spellStart"/>
            <w:r>
              <w:rPr>
                <w:rFonts w:ascii="Arial" w:hAnsi="Arial" w:cs="Arial"/>
              </w:rPr>
              <w:t>Self assessment</w:t>
            </w:r>
            <w:proofErr w:type="spellEnd"/>
            <w:r>
              <w:rPr>
                <w:rFonts w:ascii="Arial" w:hAnsi="Arial" w:cs="Arial"/>
              </w:rPr>
              <w:t xml:space="preserve"> undertaken on an annual basis and presented to Governance Committee in May 21 and May 22.   This will continue in future years with the external assessment due to be undertaken in early 2023.</w:t>
            </w:r>
          </w:p>
          <w:p w14:paraId="52D5B1A3" w14:textId="696913BA" w:rsidR="002C583B" w:rsidRDefault="002C583B" w:rsidP="000F4BBB">
            <w:pPr>
              <w:rPr>
                <w:rFonts w:ascii="Arial" w:hAnsi="Arial" w:cs="Arial"/>
              </w:rPr>
            </w:pPr>
          </w:p>
        </w:tc>
      </w:tr>
      <w:tr w:rsidR="002C583B" w14:paraId="6C29112A" w14:textId="6B0C94F3" w:rsidTr="002C583B">
        <w:tc>
          <w:tcPr>
            <w:tcW w:w="704" w:type="dxa"/>
          </w:tcPr>
          <w:p w14:paraId="2C2AA84A" w14:textId="0236CE9B" w:rsidR="002C583B" w:rsidRPr="000F4BBB" w:rsidRDefault="002C583B" w:rsidP="000F4BBB">
            <w:pPr>
              <w:rPr>
                <w:rFonts w:ascii="Arial" w:hAnsi="Arial" w:cs="Arial"/>
              </w:rPr>
            </w:pPr>
            <w:r w:rsidRPr="000F4BBB">
              <w:rPr>
                <w:rFonts w:ascii="Arial" w:hAnsi="Arial" w:cs="Arial"/>
              </w:rPr>
              <w:t>3</w:t>
            </w:r>
          </w:p>
        </w:tc>
        <w:tc>
          <w:tcPr>
            <w:tcW w:w="4678" w:type="dxa"/>
          </w:tcPr>
          <w:p w14:paraId="4465A629" w14:textId="77777777" w:rsidR="002C583B" w:rsidRDefault="002C583B" w:rsidP="000F4BBB">
            <w:pPr>
              <w:rPr>
                <w:rFonts w:ascii="Arial" w:hAnsi="Arial" w:cs="Arial"/>
              </w:rPr>
            </w:pPr>
            <w:r w:rsidRPr="000F4BBB">
              <w:rPr>
                <w:rFonts w:ascii="Arial" w:hAnsi="Arial" w:cs="Arial"/>
              </w:rPr>
              <w:t>Ensure the results of the QAIP are reported annually to both senior management and the Governance Committee</w:t>
            </w:r>
          </w:p>
          <w:p w14:paraId="7B86DBF2" w14:textId="469B06EE" w:rsidR="002C583B" w:rsidRPr="000F4BBB" w:rsidRDefault="002C583B" w:rsidP="000F4BBB">
            <w:pPr>
              <w:rPr>
                <w:rFonts w:ascii="Arial" w:hAnsi="Arial" w:cs="Arial"/>
              </w:rPr>
            </w:pPr>
          </w:p>
        </w:tc>
        <w:tc>
          <w:tcPr>
            <w:tcW w:w="1881" w:type="dxa"/>
          </w:tcPr>
          <w:p w14:paraId="7FB0D489" w14:textId="68CC7405" w:rsidR="002C583B" w:rsidRPr="000F4BBB" w:rsidRDefault="002C583B" w:rsidP="000F4BBB">
            <w:pPr>
              <w:rPr>
                <w:rFonts w:ascii="Arial" w:hAnsi="Arial" w:cs="Arial"/>
              </w:rPr>
            </w:pPr>
            <w:r>
              <w:rPr>
                <w:rFonts w:ascii="Arial" w:hAnsi="Arial" w:cs="Arial"/>
              </w:rPr>
              <w:t>Service Lead Audit and Risk</w:t>
            </w:r>
          </w:p>
        </w:tc>
        <w:tc>
          <w:tcPr>
            <w:tcW w:w="1292" w:type="dxa"/>
          </w:tcPr>
          <w:p w14:paraId="3DD69543" w14:textId="15DCC0C5" w:rsidR="002C583B" w:rsidRPr="000F4BBB" w:rsidRDefault="002C583B" w:rsidP="000F4BBB">
            <w:pPr>
              <w:rPr>
                <w:rFonts w:ascii="Arial" w:hAnsi="Arial" w:cs="Arial"/>
              </w:rPr>
            </w:pPr>
            <w:r w:rsidRPr="000F4BBB">
              <w:rPr>
                <w:rFonts w:ascii="Arial" w:hAnsi="Arial" w:cs="Arial"/>
              </w:rPr>
              <w:t>May 2022</w:t>
            </w:r>
          </w:p>
        </w:tc>
        <w:tc>
          <w:tcPr>
            <w:tcW w:w="5359" w:type="dxa"/>
          </w:tcPr>
          <w:p w14:paraId="5CBB2D34" w14:textId="2D8F9EF5" w:rsidR="002C583B" w:rsidRPr="000F4BBB" w:rsidRDefault="002C583B" w:rsidP="000F4BBB">
            <w:pPr>
              <w:rPr>
                <w:rFonts w:ascii="Arial" w:hAnsi="Arial" w:cs="Arial"/>
              </w:rPr>
            </w:pPr>
            <w:r>
              <w:rPr>
                <w:rFonts w:ascii="Arial" w:hAnsi="Arial" w:cs="Arial"/>
              </w:rPr>
              <w:t>Complete – as above</w:t>
            </w:r>
          </w:p>
        </w:tc>
      </w:tr>
      <w:tr w:rsidR="002C583B" w14:paraId="07306412" w14:textId="13C218B5" w:rsidTr="002C583B">
        <w:tc>
          <w:tcPr>
            <w:tcW w:w="704" w:type="dxa"/>
          </w:tcPr>
          <w:p w14:paraId="4F9CFF6D" w14:textId="321B7943" w:rsidR="002C583B" w:rsidRPr="000F4BBB" w:rsidRDefault="002C583B" w:rsidP="000F4BBB">
            <w:pPr>
              <w:rPr>
                <w:rFonts w:ascii="Arial" w:hAnsi="Arial" w:cs="Arial"/>
              </w:rPr>
            </w:pPr>
            <w:r>
              <w:rPr>
                <w:rFonts w:ascii="Arial" w:hAnsi="Arial" w:cs="Arial"/>
              </w:rPr>
              <w:t>4</w:t>
            </w:r>
          </w:p>
          <w:p w14:paraId="7E8472B0" w14:textId="400309D5" w:rsidR="002C583B" w:rsidRPr="000F4BBB" w:rsidRDefault="002C583B" w:rsidP="000F4BBB">
            <w:pPr>
              <w:rPr>
                <w:rFonts w:ascii="Arial" w:hAnsi="Arial" w:cs="Arial"/>
              </w:rPr>
            </w:pPr>
          </w:p>
        </w:tc>
        <w:tc>
          <w:tcPr>
            <w:tcW w:w="4678" w:type="dxa"/>
          </w:tcPr>
          <w:p w14:paraId="5E34620B" w14:textId="77777777" w:rsidR="002C583B" w:rsidRDefault="002C583B" w:rsidP="000F4BBB">
            <w:pPr>
              <w:rPr>
                <w:rFonts w:ascii="Arial" w:hAnsi="Arial" w:cs="Arial"/>
              </w:rPr>
            </w:pPr>
            <w:r w:rsidRPr="000F4BBB">
              <w:rPr>
                <w:rFonts w:ascii="Arial" w:hAnsi="Arial" w:cs="Arial"/>
              </w:rPr>
              <w:t>Undertake a review of the Council’s arrangements against the CIPFA Code of Practice on Managing the risk of fraud and corruption and Fighting Fraud and Corruption Locally</w:t>
            </w:r>
          </w:p>
          <w:p w14:paraId="3A30C2A6" w14:textId="0AA45A99" w:rsidR="002C583B" w:rsidRPr="000F4BBB" w:rsidRDefault="002C583B" w:rsidP="000F4BBB">
            <w:pPr>
              <w:rPr>
                <w:rFonts w:ascii="Arial" w:hAnsi="Arial" w:cs="Arial"/>
              </w:rPr>
            </w:pPr>
          </w:p>
        </w:tc>
        <w:tc>
          <w:tcPr>
            <w:tcW w:w="1881" w:type="dxa"/>
          </w:tcPr>
          <w:p w14:paraId="7BA825C1" w14:textId="6E2240EE" w:rsidR="002C583B" w:rsidRPr="000F4BBB" w:rsidRDefault="002C583B" w:rsidP="000F4BBB">
            <w:pPr>
              <w:rPr>
                <w:rFonts w:ascii="Arial" w:hAnsi="Arial" w:cs="Arial"/>
              </w:rPr>
            </w:pPr>
            <w:r>
              <w:rPr>
                <w:rFonts w:ascii="Arial" w:hAnsi="Arial" w:cs="Arial"/>
              </w:rPr>
              <w:t>Service Lead Audit and Risk</w:t>
            </w:r>
          </w:p>
        </w:tc>
        <w:tc>
          <w:tcPr>
            <w:tcW w:w="1292" w:type="dxa"/>
          </w:tcPr>
          <w:p w14:paraId="65EE982B" w14:textId="22CDE8C5" w:rsidR="002C583B" w:rsidRDefault="002C583B" w:rsidP="000F4BBB">
            <w:pPr>
              <w:rPr>
                <w:rFonts w:ascii="Arial" w:hAnsi="Arial" w:cs="Arial"/>
              </w:rPr>
            </w:pPr>
            <w:r w:rsidRPr="000F4BBB">
              <w:rPr>
                <w:rFonts w:ascii="Arial" w:hAnsi="Arial" w:cs="Arial"/>
              </w:rPr>
              <w:t>November 2021</w:t>
            </w:r>
            <w:r w:rsidR="0078767F">
              <w:rPr>
                <w:rFonts w:ascii="Arial" w:hAnsi="Arial" w:cs="Arial"/>
              </w:rPr>
              <w:t>.</w:t>
            </w:r>
          </w:p>
          <w:p w14:paraId="50679E0A" w14:textId="3226C29F" w:rsidR="0078767F" w:rsidRDefault="0078767F" w:rsidP="000F4BBB">
            <w:pPr>
              <w:rPr>
                <w:rFonts w:ascii="Arial" w:hAnsi="Arial" w:cs="Arial"/>
              </w:rPr>
            </w:pPr>
          </w:p>
          <w:p w14:paraId="14051133" w14:textId="136B5C9C" w:rsidR="0078767F" w:rsidRPr="000F4BBB" w:rsidRDefault="0078767F" w:rsidP="000F4BBB">
            <w:pPr>
              <w:rPr>
                <w:rFonts w:ascii="Arial" w:hAnsi="Arial" w:cs="Arial"/>
              </w:rPr>
            </w:pPr>
            <w:r>
              <w:rPr>
                <w:rFonts w:ascii="Arial" w:hAnsi="Arial" w:cs="Arial"/>
              </w:rPr>
              <w:t>July 22</w:t>
            </w:r>
          </w:p>
          <w:p w14:paraId="7CBD59F1" w14:textId="3BEBF3A3" w:rsidR="002C583B" w:rsidRPr="000F4BBB" w:rsidRDefault="002C583B" w:rsidP="000F4BBB">
            <w:pPr>
              <w:rPr>
                <w:rFonts w:ascii="Arial" w:hAnsi="Arial" w:cs="Arial"/>
              </w:rPr>
            </w:pPr>
          </w:p>
        </w:tc>
        <w:tc>
          <w:tcPr>
            <w:tcW w:w="5359" w:type="dxa"/>
          </w:tcPr>
          <w:p w14:paraId="603B68E2" w14:textId="77777777" w:rsidR="002C583B" w:rsidRDefault="002C583B" w:rsidP="000F4BBB">
            <w:pPr>
              <w:rPr>
                <w:rFonts w:ascii="Arial" w:hAnsi="Arial" w:cs="Arial"/>
              </w:rPr>
            </w:pPr>
            <w:r>
              <w:rPr>
                <w:rFonts w:ascii="Arial" w:hAnsi="Arial" w:cs="Arial"/>
              </w:rPr>
              <w:t>In progress.  The review has been undertaken an action plan is being developed.</w:t>
            </w:r>
          </w:p>
          <w:p w14:paraId="707D4728" w14:textId="77777777" w:rsidR="002C583B" w:rsidRDefault="002C583B" w:rsidP="000F4BBB">
            <w:pPr>
              <w:rPr>
                <w:rFonts w:ascii="Arial" w:hAnsi="Arial" w:cs="Arial"/>
              </w:rPr>
            </w:pPr>
          </w:p>
          <w:p w14:paraId="48A4257F" w14:textId="24061456" w:rsidR="002C583B" w:rsidRDefault="002C583B" w:rsidP="000F4BBB">
            <w:pPr>
              <w:rPr>
                <w:rFonts w:ascii="Arial" w:hAnsi="Arial" w:cs="Arial"/>
                <w:b/>
                <w:bCs/>
                <w:color w:val="FF0000"/>
              </w:rPr>
            </w:pPr>
            <w:r w:rsidRPr="002C583B">
              <w:rPr>
                <w:rFonts w:ascii="Arial" w:hAnsi="Arial" w:cs="Arial"/>
                <w:b/>
                <w:bCs/>
                <w:color w:val="FF0000"/>
              </w:rPr>
              <w:t>Action to be carried forward</w:t>
            </w:r>
            <w:r>
              <w:rPr>
                <w:rFonts w:ascii="Arial" w:hAnsi="Arial" w:cs="Arial"/>
                <w:b/>
                <w:bCs/>
                <w:color w:val="FF0000"/>
              </w:rPr>
              <w:t>.</w:t>
            </w:r>
            <w:r w:rsidR="0078767F">
              <w:rPr>
                <w:rFonts w:ascii="Arial" w:hAnsi="Arial" w:cs="Arial"/>
                <w:b/>
                <w:bCs/>
                <w:color w:val="FF0000"/>
              </w:rPr>
              <w:t xml:space="preserve">  Action plan to be fully developed by July 22.</w:t>
            </w:r>
          </w:p>
          <w:p w14:paraId="183A920D" w14:textId="488F9DC3" w:rsidR="002C583B" w:rsidRPr="002C583B" w:rsidRDefault="002C583B" w:rsidP="000F4BBB">
            <w:pPr>
              <w:rPr>
                <w:rFonts w:ascii="Arial" w:hAnsi="Arial" w:cs="Arial"/>
                <w:b/>
                <w:bCs/>
              </w:rPr>
            </w:pPr>
          </w:p>
        </w:tc>
      </w:tr>
      <w:tr w:rsidR="002C583B" w14:paraId="31FF8B63" w14:textId="1A01BC57" w:rsidTr="002C583B">
        <w:tc>
          <w:tcPr>
            <w:tcW w:w="704" w:type="dxa"/>
          </w:tcPr>
          <w:p w14:paraId="2D993D40" w14:textId="3A862089" w:rsidR="002C583B" w:rsidRPr="000F4BBB" w:rsidRDefault="002C583B" w:rsidP="000F4BBB">
            <w:pPr>
              <w:rPr>
                <w:rFonts w:ascii="Arial" w:hAnsi="Arial" w:cs="Arial"/>
              </w:rPr>
            </w:pPr>
            <w:r>
              <w:rPr>
                <w:rFonts w:ascii="Arial" w:hAnsi="Arial" w:cs="Arial"/>
              </w:rPr>
              <w:t>5</w:t>
            </w:r>
          </w:p>
          <w:p w14:paraId="667BC135" w14:textId="6696431A" w:rsidR="002C583B" w:rsidRPr="000F4BBB" w:rsidRDefault="002C583B" w:rsidP="000F4BBB">
            <w:pPr>
              <w:rPr>
                <w:rFonts w:ascii="Arial" w:hAnsi="Arial" w:cs="Arial"/>
              </w:rPr>
            </w:pPr>
          </w:p>
        </w:tc>
        <w:tc>
          <w:tcPr>
            <w:tcW w:w="4678" w:type="dxa"/>
          </w:tcPr>
          <w:p w14:paraId="586F90C8" w14:textId="77777777" w:rsidR="002C583B" w:rsidRDefault="002C583B" w:rsidP="000F4BBB">
            <w:pPr>
              <w:rPr>
                <w:rFonts w:ascii="Arial" w:hAnsi="Arial" w:cs="Arial"/>
              </w:rPr>
            </w:pPr>
            <w:r w:rsidRPr="000F4BBB">
              <w:rPr>
                <w:rFonts w:ascii="Arial" w:hAnsi="Arial" w:cs="Arial"/>
              </w:rPr>
              <w:t>Implement a system to ensure all agreed management actions are routinely followed up</w:t>
            </w:r>
          </w:p>
          <w:p w14:paraId="34AFF0B6" w14:textId="1AA21E42" w:rsidR="002C583B" w:rsidRPr="000F4BBB" w:rsidRDefault="002C583B" w:rsidP="000F4BBB">
            <w:pPr>
              <w:rPr>
                <w:rFonts w:ascii="Arial" w:hAnsi="Arial" w:cs="Arial"/>
              </w:rPr>
            </w:pPr>
          </w:p>
        </w:tc>
        <w:tc>
          <w:tcPr>
            <w:tcW w:w="1881" w:type="dxa"/>
          </w:tcPr>
          <w:p w14:paraId="5CB24384" w14:textId="3321DE00" w:rsidR="002C583B" w:rsidRPr="000F4BBB" w:rsidRDefault="002C583B" w:rsidP="000F4BBB">
            <w:pPr>
              <w:rPr>
                <w:rFonts w:ascii="Arial" w:hAnsi="Arial" w:cs="Arial"/>
              </w:rPr>
            </w:pPr>
            <w:r>
              <w:rPr>
                <w:rFonts w:ascii="Arial" w:hAnsi="Arial" w:cs="Arial"/>
              </w:rPr>
              <w:t>Service Lead Audit and Risk</w:t>
            </w:r>
          </w:p>
        </w:tc>
        <w:tc>
          <w:tcPr>
            <w:tcW w:w="1292" w:type="dxa"/>
          </w:tcPr>
          <w:p w14:paraId="3DD51125" w14:textId="69B7DC80" w:rsidR="002C583B" w:rsidRPr="000F4BBB" w:rsidRDefault="002C583B" w:rsidP="000F4BBB">
            <w:pPr>
              <w:rPr>
                <w:rFonts w:ascii="Arial" w:hAnsi="Arial" w:cs="Arial"/>
              </w:rPr>
            </w:pPr>
            <w:r>
              <w:rPr>
                <w:rFonts w:ascii="Arial" w:hAnsi="Arial" w:cs="Arial"/>
              </w:rPr>
              <w:t>May 2021</w:t>
            </w:r>
          </w:p>
        </w:tc>
        <w:tc>
          <w:tcPr>
            <w:tcW w:w="5359" w:type="dxa"/>
          </w:tcPr>
          <w:p w14:paraId="0E698D99" w14:textId="77777777" w:rsidR="002C583B" w:rsidRDefault="002C583B" w:rsidP="000F4BBB">
            <w:pPr>
              <w:rPr>
                <w:rFonts w:ascii="Arial" w:hAnsi="Arial" w:cs="Arial"/>
              </w:rPr>
            </w:pPr>
            <w:r>
              <w:rPr>
                <w:rFonts w:ascii="Arial" w:hAnsi="Arial" w:cs="Arial"/>
              </w:rPr>
              <w:t>Complete.   A comprehensive monitoring system has been implemented with Directors received monthly reports.</w:t>
            </w:r>
          </w:p>
          <w:p w14:paraId="34F44F9F" w14:textId="77777777" w:rsidR="002C583B" w:rsidRDefault="002C583B" w:rsidP="000F4BBB">
            <w:pPr>
              <w:rPr>
                <w:rFonts w:ascii="Arial" w:hAnsi="Arial" w:cs="Arial"/>
              </w:rPr>
            </w:pPr>
          </w:p>
          <w:p w14:paraId="1710C2F5" w14:textId="2AA9B6B0" w:rsidR="002C583B" w:rsidRDefault="002C583B" w:rsidP="000F4BBB">
            <w:pPr>
              <w:rPr>
                <w:rFonts w:ascii="Arial" w:hAnsi="Arial" w:cs="Arial"/>
              </w:rPr>
            </w:pPr>
            <w:proofErr w:type="gramStart"/>
            <w:r>
              <w:rPr>
                <w:rFonts w:ascii="Arial" w:hAnsi="Arial" w:cs="Arial"/>
              </w:rPr>
              <w:lastRenderedPageBreak/>
              <w:t>Percentage  rates</w:t>
            </w:r>
            <w:proofErr w:type="gramEnd"/>
            <w:r>
              <w:rPr>
                <w:rFonts w:ascii="Arial" w:hAnsi="Arial" w:cs="Arial"/>
              </w:rPr>
              <w:t xml:space="preserve"> of implementation of management action rates as a KPI  reported to C</w:t>
            </w:r>
            <w:r w:rsidR="00E262B3">
              <w:rPr>
                <w:rFonts w:ascii="Arial" w:hAnsi="Arial" w:cs="Arial"/>
              </w:rPr>
              <w:t xml:space="preserve">orporate </w:t>
            </w:r>
            <w:r>
              <w:rPr>
                <w:rFonts w:ascii="Arial" w:hAnsi="Arial" w:cs="Arial"/>
              </w:rPr>
              <w:t>G</w:t>
            </w:r>
            <w:r w:rsidR="00E262B3">
              <w:rPr>
                <w:rFonts w:ascii="Arial" w:hAnsi="Arial" w:cs="Arial"/>
              </w:rPr>
              <w:t xml:space="preserve">overnance </w:t>
            </w:r>
            <w:r>
              <w:rPr>
                <w:rFonts w:ascii="Arial" w:hAnsi="Arial" w:cs="Arial"/>
              </w:rPr>
              <w:t>G</w:t>
            </w:r>
            <w:r w:rsidR="00E262B3">
              <w:rPr>
                <w:rFonts w:ascii="Arial" w:hAnsi="Arial" w:cs="Arial"/>
              </w:rPr>
              <w:t xml:space="preserve">roup </w:t>
            </w:r>
            <w:r>
              <w:rPr>
                <w:rFonts w:ascii="Arial" w:hAnsi="Arial" w:cs="Arial"/>
              </w:rPr>
              <w:t xml:space="preserve"> and Governance Committee.</w:t>
            </w:r>
          </w:p>
          <w:p w14:paraId="4FA3113F" w14:textId="00CB6C92" w:rsidR="002C583B" w:rsidRDefault="002C583B" w:rsidP="000F4BBB">
            <w:pPr>
              <w:rPr>
                <w:rFonts w:ascii="Arial" w:hAnsi="Arial" w:cs="Arial"/>
              </w:rPr>
            </w:pPr>
            <w:bookmarkStart w:id="0" w:name="_GoBack"/>
            <w:bookmarkEnd w:id="0"/>
          </w:p>
        </w:tc>
      </w:tr>
    </w:tbl>
    <w:p w14:paraId="2EB5338B" w14:textId="77777777" w:rsidR="00C15200" w:rsidRPr="00C15200" w:rsidRDefault="00C15200" w:rsidP="00C15200">
      <w:pPr>
        <w:jc w:val="center"/>
        <w:rPr>
          <w:rFonts w:ascii="Arial" w:hAnsi="Arial" w:cs="Arial"/>
          <w:b/>
          <w:bCs/>
          <w:sz w:val="28"/>
          <w:szCs w:val="28"/>
        </w:rPr>
      </w:pPr>
    </w:p>
    <w:p w14:paraId="27A7905D" w14:textId="77777777" w:rsidR="00C15200" w:rsidRPr="00C15200" w:rsidRDefault="00C15200" w:rsidP="00C15200">
      <w:pPr>
        <w:jc w:val="center"/>
        <w:rPr>
          <w:rFonts w:ascii="Arial" w:hAnsi="Arial" w:cs="Arial"/>
          <w:sz w:val="28"/>
          <w:szCs w:val="28"/>
        </w:rPr>
      </w:pPr>
    </w:p>
    <w:sectPr w:rsidR="00C15200" w:rsidRPr="00C15200" w:rsidSect="00C152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00"/>
    <w:rsid w:val="000F4BBB"/>
    <w:rsid w:val="002C583B"/>
    <w:rsid w:val="00692DE3"/>
    <w:rsid w:val="0078767F"/>
    <w:rsid w:val="009027BB"/>
    <w:rsid w:val="00C15200"/>
    <w:rsid w:val="00E26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C3C6"/>
  <w15:chartTrackingRefBased/>
  <w15:docId w15:val="{B09D81A4-5FAB-4F12-9A64-D093425D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Highton</dc:creator>
  <cp:keywords/>
  <dc:description/>
  <cp:lastModifiedBy>Dawn Highton</cp:lastModifiedBy>
  <cp:revision>3</cp:revision>
  <dcterms:created xsi:type="dcterms:W3CDTF">2022-04-04T16:01:00Z</dcterms:created>
  <dcterms:modified xsi:type="dcterms:W3CDTF">2022-04-20T10:12:00Z</dcterms:modified>
</cp:coreProperties>
</file>